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6"/>
        <w:gridCol w:w="9"/>
      </w:tblGrid>
      <w:tr w:rsidR="00E064FE" w:rsidRPr="00E064FE" w:rsidTr="00E064FE">
        <w:tc>
          <w:tcPr>
            <w:tcW w:w="1506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46"/>
            </w:tblGrid>
            <w:tr w:rsidR="00E064FE" w:rsidRPr="00E064FE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01"/>
                    <w:gridCol w:w="3245"/>
                  </w:tblGrid>
                  <w:tr w:rsidR="00E064FE" w:rsidRPr="00E064FE">
                    <w:trPr>
                      <w:gridAfter w:val="1"/>
                      <w:wAfter w:w="95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75"/>
                          <w:gridCol w:w="1736"/>
                          <w:gridCol w:w="1573"/>
                          <w:gridCol w:w="2001"/>
                        </w:tblGrid>
                        <w:tr w:rsidR="00E064FE" w:rsidRPr="00E064FE"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D9D9D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ГОСТ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D9D9D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Марки стали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D9D9D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Заменитель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D9D9D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Свариваемость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380-94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</w:t>
                              </w:r>
                              <w:proofErr w:type="gramStart"/>
                              <w:r w:rsidRPr="00E064FE">
                                <w:t>0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Ст2кп </w:t>
                              </w:r>
                              <w:r w:rsidRPr="00E064FE">
                                <w:br/>
                                <w:t xml:space="preserve">Ст2пс </w:t>
                              </w:r>
                              <w:r w:rsidRPr="00E064FE">
                                <w:br/>
                                <w:t>Ст2сп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Ст2сп </w:t>
                              </w:r>
                              <w:r w:rsidRPr="00E064FE">
                                <w:br/>
                                <w:t>Ст2пс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Для толщины более 36 мм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Ст3кп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Ст3пс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Для толщины более 36 мм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Ст3пс </w:t>
                              </w:r>
                              <w:r w:rsidRPr="00E064FE">
                                <w:br/>
                                <w:t>Ст3сп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Ст3сп </w:t>
                              </w:r>
                              <w:r w:rsidRPr="00E064FE">
                                <w:br/>
                                <w:t>Ст3пс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Для толщины более 36 мм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Ст3Гпс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Ст3пс </w:t>
                              </w:r>
                              <w:r w:rsidRPr="00E064FE">
                                <w:br/>
                                <w:t>Сталь 18Гпс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Для толщины более 36 мм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Ст4кп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Ст4пс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Ст4сп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Ст5пс </w:t>
                              </w:r>
                              <w:r w:rsidRPr="00E064FE">
                                <w:br/>
                                <w:t>Ст5сп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Ст6сп </w:t>
                              </w:r>
                              <w:r w:rsidRPr="00E064FE">
                                <w:br/>
                                <w:t>Ст4сп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Сваривается ограниченно. Рекомендуется </w:t>
                              </w:r>
                              <w:r w:rsidRPr="00E064FE">
                                <w:lastRenderedPageBreak/>
                                <w:t>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Ст6пс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Ст6сп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Ст5сп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801-78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ШХ15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ШХ</w:t>
                              </w:r>
                              <w:proofErr w:type="gramStart"/>
                              <w:r w:rsidRPr="00E064FE">
                                <w:t>9</w:t>
                              </w:r>
                              <w:proofErr w:type="gramEnd"/>
                              <w:r w:rsidRPr="00E064FE">
                                <w:t>, ШХ12, ШХ15СГ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Способ сварки КТС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ШХ15СГ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ХВГ, ШХ15, 9ХС, ХВСГ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Способ сварки КТС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ШХ</w:t>
                              </w:r>
                              <w:proofErr w:type="gramStart"/>
                              <w:r w:rsidRPr="00E064FE">
                                <w:t>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Способ сварки КТС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1050-88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08кп </w:t>
                              </w:r>
                              <w:r w:rsidRPr="00E064FE">
                                <w:br/>
                                <w:t>08пс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 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08, 15, 08кп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</w:t>
                              </w:r>
                              <w:r w:rsidRPr="00E064FE">
                                <w:lastRenderedPageBreak/>
                                <w:t>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10кп </w:t>
                              </w:r>
                              <w:r w:rsidRPr="00E064FE">
                                <w:br/>
                                <w:t>10пс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08кп, 15кп,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10, 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15кп </w:t>
                              </w:r>
                              <w:r w:rsidRPr="00E064FE">
                                <w:br/>
                                <w:t>15пс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10кп, 20кп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18кп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15, 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20кп </w:t>
                              </w:r>
                              <w:r w:rsidRPr="00E064FE">
                                <w:br/>
                                <w:t> 20пс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15кп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20, 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25, 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30, 40, 35Г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35, 45, 40Г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ограниченно.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40Х, 50, 50Г2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 - 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45, 50Г, 50Г2, 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 - 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50, 60, 50Г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58 (55пп)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30ХГТ, 20ХГНТР, 20ХН2М, 12ХНЗА, 18ХГТ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>1414-75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А20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 А12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А30 </w:t>
                              </w:r>
                              <w:r w:rsidRPr="00E064FE">
                                <w:br/>
                                <w:t>А40Г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А40Г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1435-90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У</w:t>
                              </w:r>
                              <w:proofErr w:type="gramStart"/>
                              <w:r w:rsidRPr="00E064FE">
                                <w:t>7</w:t>
                              </w:r>
                              <w:proofErr w:type="gramEnd"/>
                              <w:r w:rsidRPr="00E064FE">
                                <w:t>, У7А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У8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У8, У8А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У</w:t>
                              </w:r>
                              <w:proofErr w:type="gramStart"/>
                              <w:r w:rsidRPr="00E064FE">
                                <w:t>7</w:t>
                              </w:r>
                              <w:proofErr w:type="gramEnd"/>
                              <w:r w:rsidRPr="00E064FE">
                                <w:t>, У7А У10, У10А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У</w:t>
                              </w:r>
                              <w:proofErr w:type="gramStart"/>
                              <w:r w:rsidRPr="00E064FE">
                                <w:t>9</w:t>
                              </w:r>
                              <w:proofErr w:type="gramEnd"/>
                              <w:r w:rsidRPr="00E064FE">
                                <w:t>, У9А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У</w:t>
                              </w:r>
                              <w:proofErr w:type="gramStart"/>
                              <w:r w:rsidRPr="00E064FE">
                                <w:t>7</w:t>
                              </w:r>
                              <w:proofErr w:type="gramEnd"/>
                              <w:r w:rsidRPr="00E064FE">
                                <w:t>, У7А, У8, У8А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У10, У10А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У10, У10А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4543-71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 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15Х, 20ХН, 18ХГТ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 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35Х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сваривается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сваривается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40Х, 35Х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45Х, 35ХА, 40ХС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Трудно-свариваемая,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40Х, 45Х, 50ХН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Трудно-свариваемая,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40Х, 45Х, 50ХН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Трудно-свариваемая,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15Г </w:t>
                              </w:r>
                              <w:r w:rsidRPr="00E064FE">
                                <w:br/>
                                <w:t>20Г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20Г, 20, 30Г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Хорошо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35, 40Г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45, 40Х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Ограниченно свариваемая. Рекомендуется подогрев и </w:t>
                              </w:r>
                              <w:r w:rsidRPr="00E064FE">
                                <w:lastRenderedPageBreak/>
                                <w:t>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40Г, 50Г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Рекомендуется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Стали: 40Г, 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Рекомендуется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09Г2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45Г2, 60Г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50Г2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45Г2, 60Г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47ГТ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40ХГРТ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18ХГТ </w:t>
                              </w:r>
                              <w:r w:rsidRPr="00E064FE">
                                <w:br/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30ХГТ, 25ХГТ, 12ХН3А, 12Х2Н4А, 20ХН2М, 20ХГР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20ХГР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20ХН3А, 20ХН24, 18Х1Т, 12ХН2, 12ХН3А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ограничений, кроме деталей после химико-термической обработки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25Х1Т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18ХГТ, 30ХГТ, 25ХГМ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Требуется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18ХГТ, 20ХН2М, 25ХГТ, 12Х2Н4А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33ХС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38ХС </w:t>
                              </w:r>
                              <w:r w:rsidRPr="00E064FE">
                                <w:br/>
                                <w:t>40ХС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40ХС, 38ХС, 35ХГТ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 (способ КТС)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40Х, 65Г, 50ХФА, 30Х3МФ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Трудно-свариваемая. Требуется подогрев и последующая </w:t>
                              </w:r>
                              <w:r w:rsidRPr="00E064FE">
                                <w:lastRenderedPageBreak/>
                                <w:t>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30ХМ </w:t>
                              </w:r>
                              <w:r w:rsidRPr="00E064FE">
                                <w:br/>
                                <w:t>30ХМА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35ХМ, 35ХРА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35ХМ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40Х, 40ХН, 30ХН, 35ХГСА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15ХГ, 20ХНР, 18ХГТ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Ограниченно свариваемая. 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45ХН, 50ХН, 38ХГН, 40Х, 35ХГФ, 40ХНР, 40ХНМ, 30ХГВТ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Рекомендуется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Трудно-свариваемая. Рекомендуется подогрев и последующая </w:t>
                              </w:r>
                              <w:r w:rsidRPr="00E064FE">
                                <w:lastRenderedPageBreak/>
                                <w:t>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40ХН, 60ХГ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20ХНР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12ХН2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20хнр, 20ХГНР, 12ХН3А, 18ХГТ, 20ХГР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12ХН3А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12ХН2, 20ХН3А, 25ХГТ, 12Х2НА, 20ХНР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20ХН3А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20ХГНР, 20ХНГ, 38ХА, 20ХГР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12Х2Н4А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20ХГНР, 12ХН2, 20ХГР, 12ХН3А, 20Х2Н4А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20Х2Н4А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20ХГНР, 20ХГНТР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Ограниченно свариваемая. Требуется подогрев и </w:t>
                              </w:r>
                              <w:r w:rsidRPr="00E064FE">
                                <w:lastRenderedPageBreak/>
                                <w:t>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30ХН3А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30Х2ГН2, 34ХН2М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30ХГСА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25ХГСА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30ХГС, </w:t>
                              </w:r>
                              <w:r w:rsidRPr="00E064FE">
                                <w:br/>
                                <w:t>30ХН2МА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40ХФА, 35ХМ, 40ХН, 35ХГСА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Требуется подогрев и последующая термообработка.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38Х2Н2МА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работ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40ХН2МА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40ХГТ, 40ХГР, 30Х3МФ, 45ХН2МФА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40Х2Н2МА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38Х2Н2МА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38ХН3МА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38ХН3ВА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18Х2Н4МА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20Х2Н4А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40ХФА, 35ХМ, 40ХН, 25ХГСА, 35ХГСА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35ХГСА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30ХГС, 30ХГСА, 30ХГТ, 35ХМ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30ХГСН2А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38ХГН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38ХГНМ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20ХГНР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20ХН3А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20ХН2М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20ХГР, 15ХР, 20ХНР, </w:t>
                              </w:r>
                              <w:r w:rsidRPr="00E064FE">
                                <w:lastRenderedPageBreak/>
                                <w:t>20ХГНР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 xml:space="preserve">Трудно-свариваемая. Необходим </w:t>
                              </w:r>
                              <w:r w:rsidRPr="00E064FE">
                                <w:lastRenderedPageBreak/>
                                <w:t>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30ХН2МФА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30ХН2ВФА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36Х2Н2МФА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Трудно-свариваемая. 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38ХН3МФА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45ХН2МФА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20ХН4ФА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18Х2Н4МА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38Х2МЮА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38Х2ЮА, 38ХВФЮ, 38Х2Ю, 20Х3МВФ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5520-79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16К </w:t>
                              </w:r>
                              <w:r w:rsidRPr="00E064FE">
                                <w:br/>
                                <w:t>18К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22К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Ограниченно свариваемая. Рекомендуется </w:t>
                              </w:r>
                              <w:r w:rsidRPr="00E064FE">
                                <w:lastRenderedPageBreak/>
                                <w:t>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>5632-72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40Х9С2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40Х10С2М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08Х13 </w:t>
                              </w:r>
                              <w:r w:rsidRPr="00E064FE">
                                <w:br/>
                                <w:t xml:space="preserve">12Х13 </w:t>
                              </w:r>
                              <w:r w:rsidRPr="00E064FE">
                                <w:br/>
                                <w:t xml:space="preserve">20Х13 </w:t>
                              </w:r>
                              <w:r w:rsidRPr="00E064FE">
                                <w:br/>
                                <w:t>25Х13Н2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12Х13, 12Х18Н9Т </w:t>
                              </w:r>
                              <w:r w:rsidRPr="00E064FE">
                                <w:br/>
                                <w:t xml:space="preserve">Сталь: 20Х13 </w:t>
                              </w:r>
                              <w:r w:rsidRPr="00E064FE">
                                <w:br/>
                                <w:t xml:space="preserve">Сталь: 12Х13, 14Х17Н2 </w:t>
                              </w:r>
                              <w:r w:rsidRPr="00E064FE"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свариваемая. Подогрев и термообработка применяются в зависимости от метода сварки, вида и назначения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30Х13 </w:t>
                              </w:r>
                              <w:r w:rsidRPr="00E064FE">
                                <w:br/>
                                <w:t>40Х13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10Х14АГ16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12Х18Н9, 08Х18Н10, 12Х18Н9Т, 12Х18Н10Т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12Х18Н9Т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рекомендуется для сварных конструкций. 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08Х17Т, </w:t>
                              </w:r>
                              <w:r w:rsidRPr="00E064FE">
                                <w:br/>
                                <w:t>08Х18Т1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12Х17, 08Х18Т1, 08Х17Т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95Х18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15Х25Т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15Х25Т, 20Х23Н18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Трудно-свариваемая. Необходим подогрев и последующая термообработка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20Х23Н13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20Х23Н18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10Х25Т, 20Х23Н13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10Х23Н10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20Х25Н20С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15Х12ВНМФ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20Х12ВНМФ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15Х12ВНМФ, 18Х11МНФБ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37Х12Н8Г2МФБ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13Х11Н2В2МФ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45Х14Н14В2М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40Х15Н7Г7Ф2МС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08Х17Н13М21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10Х17Н13М21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Хорошо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10Х17Н3М2Т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Хорошо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31Х19Н9МВБТ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10Х14Г14Н4Т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20Х13Н4Г9, 12Х18Н9Т, 12Х18Н10Т, 08Х18Н10Т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удовлетворительно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14Х17Н2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20Х17Н2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Хорошо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12Х18Н9 </w:t>
                              </w:r>
                              <w:r w:rsidRPr="00E064FE">
                                <w:br/>
                              </w:r>
                              <w:r w:rsidRPr="00E064FE">
                                <w:br/>
                                <w:t> 17Х18Н9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20Х13Н4Г9, 10Х14Г14Н4Т, </w:t>
                              </w:r>
                              <w:r w:rsidRPr="00E064FE">
                                <w:br/>
                                <w:t>20Х13Н4Г9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08Х18Н10 </w:t>
                              </w:r>
                              <w:r w:rsidRPr="00E064FE">
                                <w:br/>
                                <w:t xml:space="preserve"> 08Х18Н10Т </w:t>
                              </w:r>
                              <w:r w:rsidRPr="00E064FE">
                                <w:br/>
                                <w:t xml:space="preserve">12Х18Н9Т </w:t>
                              </w:r>
                              <w:r w:rsidRPr="00E064FE">
                                <w:br/>
                              </w:r>
                              <w:r w:rsidRPr="00E064FE">
                                <w:br/>
                                <w:t>12Х18Н10Т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12Х18Н10Т, </w:t>
                              </w:r>
                              <w:r w:rsidRPr="00E064FE">
                                <w:br/>
                              </w:r>
                              <w:r w:rsidRPr="00E064FE">
                                <w:br/>
                                <w:t>Сталь: 15Х25Т, 08Х18Г8Н2Т, 10Х14Г14Н4Т, 08Х17Т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12Х18Н12Т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12Х18Н9, 12Х18Н9Т, 12Х18Н10Т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сваривается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08Х18Г8Н2Т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20Х20Н14С2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12Х25Н16Г7АР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08Х22Н6Т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12Х18Н9Т, 12Х18Н10Т, 08Х18Н10Т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06ХН28МДТ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Сплав: 03ХН28МДТ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ХН35ВТ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ХН35ВТЮ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ХН70Ю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сваривается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ХН70ВМЮТ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ХН70ВМТЮФ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ХН77ТЮР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ХН78Т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Сплав: ХН38Т, Сталь: 12Х25Н16Г7АР, 20Х23Н18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ХН80ТБЮ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Трудно-свариваемая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5781-82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20ХГ2Ц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35ГС </w:t>
                              </w:r>
                              <w:r w:rsidRPr="00E064FE">
                                <w:br/>
                              </w:r>
                              <w:r w:rsidRPr="00E064FE">
                                <w:lastRenderedPageBreak/>
                                <w:t>25Г2С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 xml:space="preserve">Сталь: Ст5сп, </w:t>
                              </w:r>
                              <w:r w:rsidRPr="00E064FE">
                                <w:lastRenderedPageBreak/>
                                <w:t>Ст</w:t>
                              </w:r>
                              <w:proofErr w:type="gramStart"/>
                              <w:r w:rsidRPr="00E064FE">
                                <w:t>6</w:t>
                              </w:r>
                              <w:proofErr w:type="gramEnd"/>
                              <w:r w:rsidRPr="00E064FE">
                                <w:t>, Ст5пс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 xml:space="preserve">Сваривается без </w:t>
                              </w:r>
                              <w:r w:rsidRPr="00E064FE">
                                <w:lastRenderedPageBreak/>
                                <w:t>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>5950-73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ХВ4Ф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9Х1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9х2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9ХС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ХВГ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ХВГ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9ХС, 9ХВГ, ШХ15СГ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9ХВГ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ХВГ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Х6ВФ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Х12Ф1, Х12М, 9Х5Ф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Х12, Х12ВМФ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Х12МФ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Х12МФ </w:t>
                              </w:r>
                              <w:r w:rsidRPr="00E064FE">
                                <w:br/>
                              </w:r>
                              <w:r w:rsidRPr="00E064FE">
                                <w:br/>
                                <w:t>Х12Ф1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Х6ВФ, Х12Ф1, Х12ВМФ </w:t>
                              </w:r>
                              <w:r w:rsidRPr="00E064FE">
                                <w:br/>
                                <w:t>Сталь: Х6ВФ, Х6ВФМ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7ХГ2ВМФ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7Х3 </w:t>
                              </w:r>
                              <w:r w:rsidRPr="00E064FE">
                                <w:br/>
                                <w:t>8Х3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8Х3 </w:t>
                              </w:r>
                              <w:r w:rsidRPr="00E064FE">
                                <w:br/>
                                <w:t>Сталь: 7Х3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5ХНМ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5ХНВ, 5ХГМ, 4ХМФС, 5ХНВС, 4Х5В2ФС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5ХГМ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5ХНМ, 5ХНВ, 6ХВС, 5ХНС, 5ХНСВ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4ЗМФС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4Х5МФС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4ХМФ1С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3Х3МХФ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4ХВ2С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4Х5В2ФС, 4Х3В2М2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5ХВ2СФ </w:t>
                              </w:r>
                              <w:r w:rsidRPr="00E064FE">
                                <w:br/>
                                <w:t>6ХВ2С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6ХВ2С </w:t>
                              </w:r>
                              <w:r w:rsidRPr="00E064FE">
                                <w:br/>
                                <w:t>Сталь: 6ХЗФС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6ХВГ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9045-80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08Ю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>14959-79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65 </w:t>
                              </w:r>
                              <w:r w:rsidRPr="00E064FE">
                                <w:br/>
                                <w:t>70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60, 70 </w:t>
                              </w:r>
                              <w:r w:rsidRPr="00E064FE">
                                <w:br/>
                                <w:t>65Г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70, 80, 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70, 75, 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60Г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65Г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65Г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70, У8А, 70Г, 60С2А, 9ХС, 50ХФА, 60С2, 55С2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55С2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50С2, 60С2, 35Х2АФ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60С2 </w:t>
                              </w:r>
                              <w:r w:rsidRPr="00E064FE">
                                <w:br/>
                                <w:t>60С2А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55С2, 50ХФА, </w:t>
                              </w:r>
                              <w:r w:rsidRPr="00E064FE">
                                <w:br/>
                                <w:t>60С2Н2А, 60С2Г, 50ХФА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70С3А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55ХГР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50ХФА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60С2А, 50ХГФА, 9ХС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60С2ХА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Сталь: 60С2ХФА, </w:t>
                              </w:r>
                              <w:r w:rsidRPr="00E064FE">
                                <w:lastRenderedPageBreak/>
                                <w:t>60С2Н2А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lastRenderedPageBreak/>
                                <w:t xml:space="preserve">Не применяется для сварных </w:t>
                              </w:r>
                              <w:r w:rsidRPr="00E064FE">
                                <w:lastRenderedPageBreak/>
                                <w:t>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60С2ХФА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60С2А, 60С2ХА, 9ХС, 60С2ВА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65С2ВА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60С2А, 60С2ХА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60С2Н2А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60С2А, 60С2ХА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Не применяется для сварных конструкций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19265-73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Р18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При стыковой электросварке со сталью 45 и 40Х свариваемость хорошая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Р6М5К5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При стыковой электросварке со сталью 45 и 40Х свариваемость хорошая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Р9М4К8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При стыковой электросварке со сталью 45 и 40Х свариваемость хорошая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19281-89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09Г2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09Г2С, 10Г2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14Г2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15ХСНД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Ограниченно свариваемая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16ГС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17ГС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17ГС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16ГС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17Г1С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17ГС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09Г2С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10Г2С, 09Г2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10Г2С1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10Г2С1Д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10Г2БД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10Г2Б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15Г2СФД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14Г2АФ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16Г2АФ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16Г2АФ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14Г2АФ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18Г2ФАпс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15Г2ФАДпс, 16Г2АФ, 10ХСНД, 15ХСНД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14ХГС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15ХСНД, 16ГС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15Г2АФДпс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16Г2АФ, 18Г2АФпс, 10ХСНД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10ХСНД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16Г2АФ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10ХНДП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15ХСНД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Сталь: 16Г2АФ, 14ХГС, 16ГС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20072-72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12МХ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Рекомендуется подогрев и последующая термическая 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12Х1МФ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Рекомендуется подогрев и последующая термическая 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25Х1МФ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Рекомендуется подогрев и последующая термическая обработка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20Х3МВФ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 xml:space="preserve">Сваривается без ограничений. Рекомендуется подогрев и </w:t>
                              </w:r>
                              <w:proofErr w:type="gramStart"/>
                              <w:r w:rsidRPr="00E064FE">
                                <w:t>последующая</w:t>
                              </w:r>
                              <w:proofErr w:type="gramEnd"/>
                              <w:r w:rsidRPr="00E064FE">
                                <w:t xml:space="preserve"> термическая </w:t>
                              </w:r>
                            </w:p>
                          </w:tc>
                        </w:tr>
                        <w:tr w:rsidR="00E064FE" w:rsidRPr="00E064FE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vAlign w:val="center"/>
                              <w:hideMark/>
                            </w:tcPr>
                            <w:p w:rsidR="00E064FE" w:rsidRPr="00E064FE" w:rsidRDefault="00E064FE" w:rsidP="00E064FE"/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15Х5М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3C3C3"/>
                                <w:left w:val="single" w:sz="6" w:space="0" w:color="C3C3C3"/>
                                <w:bottom w:val="single" w:sz="6" w:space="0" w:color="C3C3C3"/>
                                <w:right w:val="single" w:sz="6" w:space="0" w:color="C3C3C3"/>
                              </w:tcBorders>
                              <w:shd w:val="clear" w:color="auto" w:fill="E8E8E8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E064FE" w:rsidRPr="00E064FE" w:rsidRDefault="00E064FE" w:rsidP="00E064FE">
                              <w:r w:rsidRPr="00E064FE">
                                <w:t>Сваривается без ограничений. Рекомендуется подогрев и последующая термическая обработка</w:t>
                              </w:r>
                            </w:p>
                          </w:tc>
                        </w:tr>
                      </w:tbl>
                      <w:p w:rsidR="00E064FE" w:rsidRPr="00E064FE" w:rsidRDefault="00E064FE" w:rsidP="00E064FE">
                        <w:r w:rsidRPr="00E064FE">
                          <w:t> </w:t>
                        </w:r>
                      </w:p>
                      <w:p w:rsidR="00E064FE" w:rsidRPr="00E064FE" w:rsidRDefault="00E064FE" w:rsidP="00E064FE"/>
                      <w:p w:rsidR="00E064FE" w:rsidRPr="00E064FE" w:rsidRDefault="00E064FE" w:rsidP="00E064FE"/>
                    </w:tc>
                  </w:tr>
                  <w:tr w:rsidR="00E064FE" w:rsidRPr="00E064FE">
                    <w:tc>
                      <w:tcPr>
                        <w:tcW w:w="50" w:type="pct"/>
                        <w:hideMark/>
                      </w:tcPr>
                      <w:p w:rsidR="00E064FE" w:rsidRPr="00E064FE" w:rsidRDefault="00E064FE" w:rsidP="00E064FE">
                        <w:r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2838450" cy="9525"/>
                              <wp:effectExtent l="0" t="0" r="0" b="0"/>
                              <wp:docPr id="15" name="Рисунок 15" descr="http://www.metkomp.ru/images/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metkomp.ru/images/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hideMark/>
                      </w:tcPr>
                      <w:p w:rsidR="00E064FE" w:rsidRPr="00E064FE" w:rsidRDefault="00E064FE" w:rsidP="00E064FE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" name="Рисунок 16" descr="http://www.metkomp.ru/images/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metkomp.ru/images/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064FE" w:rsidRPr="00E064FE" w:rsidRDefault="00E064FE" w:rsidP="00E064FE"/>
              </w:tc>
            </w:tr>
            <w:tr w:rsidR="00E064FE" w:rsidRPr="00E064FE">
              <w:tc>
                <w:tcPr>
                  <w:tcW w:w="0" w:type="auto"/>
                  <w:hideMark/>
                </w:tcPr>
                <w:p w:rsidR="00E064FE" w:rsidRPr="00E064FE" w:rsidRDefault="00E064FE" w:rsidP="00E064FE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9563100" cy="285750"/>
                        <wp:effectExtent l="0" t="0" r="0" b="0"/>
                        <wp:docPr id="17" name="Рисунок 17" descr="http://www.metkomp.ru/images/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metkomp.ru/images/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31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64FE" w:rsidRPr="00E064FE" w:rsidRDefault="00E064FE" w:rsidP="00E064FE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46"/>
            </w:tblGrid>
            <w:tr w:rsidR="00E064FE" w:rsidRPr="00E064FE">
              <w:tc>
                <w:tcPr>
                  <w:tcW w:w="0" w:type="auto"/>
                  <w:hideMark/>
                </w:tcPr>
                <w:p w:rsidR="00E064FE" w:rsidRPr="00E064FE" w:rsidRDefault="00E064FE" w:rsidP="00E064F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63100" cy="9525"/>
                        <wp:effectExtent l="19050" t="0" r="0" b="0"/>
                        <wp:docPr id="18" name="Рисунок 18" descr="http://www.metkomp.ru/images/gre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etkomp.ru/images/gre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3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64FE" w:rsidRPr="00E064FE">
              <w:tc>
                <w:tcPr>
                  <w:tcW w:w="0" w:type="auto"/>
                  <w:hideMark/>
                </w:tcPr>
                <w:p w:rsidR="00E064FE" w:rsidRPr="00E064FE" w:rsidRDefault="00E064FE" w:rsidP="00E064FE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"/>
                    <w:gridCol w:w="231"/>
                    <w:gridCol w:w="231"/>
                    <w:gridCol w:w="231"/>
                    <w:gridCol w:w="6"/>
                    <w:gridCol w:w="831"/>
                  </w:tblGrid>
                  <w:tr w:rsidR="00E064FE" w:rsidRPr="00E064FE" w:rsidTr="00E064FE">
                    <w:trPr>
                      <w:gridAfter w:val="2"/>
                    </w:trPr>
                    <w:tc>
                      <w:tcPr>
                        <w:tcW w:w="0" w:type="auto"/>
                        <w:noWrap/>
                        <w:tcMar>
                          <w:top w:w="15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E064FE" w:rsidRPr="00E064FE" w:rsidRDefault="00E064FE" w:rsidP="00E064FE"/>
                    </w:tc>
                    <w:tc>
                      <w:tcPr>
                        <w:tcW w:w="0" w:type="auto"/>
                        <w:noWrap/>
                        <w:tcMar>
                          <w:top w:w="15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E064FE" w:rsidRPr="00E064FE" w:rsidRDefault="00E064FE" w:rsidP="00E064FE"/>
                    </w:tc>
                    <w:tc>
                      <w:tcPr>
                        <w:tcW w:w="0" w:type="auto"/>
                        <w:noWrap/>
                        <w:tcMar>
                          <w:top w:w="15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E064FE" w:rsidRPr="00E064FE" w:rsidRDefault="00E064FE" w:rsidP="00E064FE"/>
                    </w:tc>
                    <w:tc>
                      <w:tcPr>
                        <w:tcW w:w="0" w:type="auto"/>
                        <w:noWrap/>
                        <w:tcMar>
                          <w:top w:w="15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E064FE" w:rsidRPr="00E064FE" w:rsidRDefault="00E064FE" w:rsidP="00E064FE"/>
                    </w:tc>
                  </w:tr>
                  <w:tr w:rsidR="00E064FE" w:rsidRPr="00E064FE">
                    <w:tc>
                      <w:tcPr>
                        <w:tcW w:w="0" w:type="auto"/>
                        <w:gridSpan w:val="3"/>
                        <w:noWrap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064FE" w:rsidRPr="00E064FE" w:rsidRDefault="00E064FE" w:rsidP="00E064FE">
                        <w:pPr>
                          <w:rPr>
                            <w:lang w:val="en-US"/>
                          </w:rPr>
                        </w:pPr>
                        <w:r w:rsidRPr="00E064FE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064FE" w:rsidRPr="00E064FE" w:rsidRDefault="00E064FE" w:rsidP="00E064FE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064FE" w:rsidRPr="00E064FE" w:rsidRDefault="00E064FE" w:rsidP="00E064FE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225" w:type="dxa"/>
                          <w:left w:w="825" w:type="dxa"/>
                          <w:bottom w:w="0" w:type="dxa"/>
                          <w:right w:w="0" w:type="dxa"/>
                        </w:tcMar>
                        <w:hideMark/>
                      </w:tcPr>
                      <w:p w:rsidR="00E064FE" w:rsidRPr="00E064FE" w:rsidRDefault="00E064FE" w:rsidP="00E064FE"/>
                    </w:tc>
                  </w:tr>
                </w:tbl>
                <w:p w:rsidR="00E064FE" w:rsidRPr="00E064FE" w:rsidRDefault="00E064FE" w:rsidP="00E064FE"/>
              </w:tc>
            </w:tr>
          </w:tbl>
          <w:p w:rsidR="00E064FE" w:rsidRPr="00E064FE" w:rsidRDefault="00E064FE" w:rsidP="00E064FE"/>
        </w:tc>
        <w:tc>
          <w:tcPr>
            <w:tcW w:w="2500" w:type="pct"/>
            <w:hideMark/>
          </w:tcPr>
          <w:p w:rsidR="00E064FE" w:rsidRPr="00E064FE" w:rsidRDefault="00E064FE" w:rsidP="00E064F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99" name="Рисунок 99" descr="http://www.metkomp.ru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etkomp.ru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B8B" w:rsidRDefault="00932B8B"/>
    <w:sectPr w:rsidR="00932B8B" w:rsidSect="0093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FE"/>
    <w:rsid w:val="00932B8B"/>
    <w:rsid w:val="00E0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1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1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2287</Words>
  <Characters>13037</Characters>
  <Application>Microsoft Office Word</Application>
  <DocSecurity>0</DocSecurity>
  <Lines>108</Lines>
  <Paragraphs>30</Paragraphs>
  <ScaleCrop>false</ScaleCrop>
  <Company>Microsoft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2015-10-26T10:07:00Z</dcterms:created>
  <dcterms:modified xsi:type="dcterms:W3CDTF">2015-10-26T10:10:00Z</dcterms:modified>
</cp:coreProperties>
</file>